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F6A" w:rsidRDefault="00285CB1">
      <w:pPr>
        <w:keepNext/>
        <w:rPr>
          <w:rFonts w:eastAsia="Arial" w:cs="Arial"/>
          <w:b/>
          <w:u w:val="single"/>
        </w:rPr>
      </w:pPr>
      <w:bookmarkStart w:id="0" w:name="_GoBack"/>
      <w:bookmarkEnd w:id="0"/>
      <w:r>
        <w:rPr>
          <w:rFonts w:eastAsia="Arial" w:cs="Arial"/>
          <w:b/>
          <w:sz w:val="22"/>
          <w:u w:val="single"/>
        </w:rPr>
        <w:t>Lesverantwoording Tuchtrecht</w:t>
      </w:r>
    </w:p>
    <w:p w:rsidR="00163F6A" w:rsidRDefault="00163F6A">
      <w:pPr>
        <w:rPr>
          <w:rFonts w:eastAsia="Arial" w:cs="Arial"/>
        </w:rPr>
      </w:pPr>
    </w:p>
    <w:p w:rsidR="00163F6A" w:rsidRDefault="00285CB1">
      <w:pPr>
        <w:rPr>
          <w:rFonts w:eastAsia="Arial" w:cs="Arial"/>
        </w:rPr>
      </w:pPr>
      <w:r>
        <w:rPr>
          <w:rFonts w:eastAsia="Arial" w:cs="Arial"/>
          <w:sz w:val="22"/>
        </w:rPr>
        <w:t>.Op de Intensive of medium care kan het gebeuren….</w:t>
      </w:r>
    </w:p>
    <w:p w:rsidR="00163F6A" w:rsidRDefault="00163F6A">
      <w:pPr>
        <w:rPr>
          <w:rFonts w:eastAsia="Arial" w:cs="Arial"/>
        </w:rPr>
      </w:pPr>
    </w:p>
    <w:p w:rsidR="00163F6A" w:rsidRDefault="00285CB1">
      <w:pPr>
        <w:rPr>
          <w:rFonts w:eastAsia="Arial" w:cs="Arial"/>
        </w:rPr>
      </w:pPr>
      <w:r>
        <w:rPr>
          <w:rFonts w:eastAsia="Arial" w:cs="Arial"/>
          <w:sz w:val="22"/>
        </w:rPr>
        <w:t xml:space="preserve"> </w:t>
      </w:r>
    </w:p>
    <w:p w:rsidR="00163F6A" w:rsidRDefault="00285CB1">
      <w:pPr>
        <w:rPr>
          <w:rFonts w:eastAsia="Arial" w:cs="Arial"/>
          <w:b/>
          <w:u w:val="single"/>
        </w:rPr>
      </w:pPr>
      <w:r>
        <w:rPr>
          <w:rFonts w:eastAsia="Arial" w:cs="Arial"/>
          <w:b/>
          <w:sz w:val="22"/>
          <w:u w:val="single"/>
        </w:rPr>
        <w:t>Doelstelling</w:t>
      </w:r>
    </w:p>
    <w:p w:rsidR="00163F6A" w:rsidRDefault="00285CB1">
      <w:pPr>
        <w:rPr>
          <w:rFonts w:eastAsia="Arial" w:cs="Arial"/>
          <w:b/>
        </w:rPr>
      </w:pPr>
      <w:r>
        <w:rPr>
          <w:rFonts w:eastAsia="Arial" w:cs="Arial"/>
          <w:sz w:val="22"/>
        </w:rPr>
        <w:t xml:space="preserve">de verpleegkundigen weten wat tuchtrecht is,  wat dit voor hun betekent en wat de werkwijze is bij een tuchtzaak. Ook zijn ze op de hoogte van de professionele standaard van de verpleegkundige beroepsgroep. Verder weten ze hoe ze klachten kunnen voorkomen </w:t>
      </w:r>
      <w:r>
        <w:rPr>
          <w:rFonts w:eastAsia="Arial" w:cs="Arial"/>
          <w:sz w:val="22"/>
        </w:rPr>
        <w:t>en wat ze het beste kunnen doen als ze onverhoopt toch met een tuchtklacht te maken krijgen.</w:t>
      </w:r>
    </w:p>
    <w:p w:rsidR="00163F6A" w:rsidRDefault="00285CB1">
      <w:pPr>
        <w:rPr>
          <w:rFonts w:eastAsia="Arial" w:cs="Arial"/>
        </w:rPr>
      </w:pPr>
      <w:r>
        <w:rPr>
          <w:rFonts w:eastAsia="Arial" w:cs="Arial"/>
          <w:sz w:val="22"/>
        </w:rPr>
        <w:t xml:space="preserve"> .</w:t>
      </w:r>
    </w:p>
    <w:p w:rsidR="00163F6A" w:rsidRDefault="00163F6A">
      <w:pPr>
        <w:rPr>
          <w:rFonts w:eastAsia="Arial" w:cs="Arial"/>
        </w:rPr>
      </w:pPr>
    </w:p>
    <w:p w:rsidR="00163F6A" w:rsidRDefault="00285CB1">
      <w:pPr>
        <w:rPr>
          <w:rFonts w:eastAsia="Arial" w:cs="Arial"/>
          <w:b/>
          <w:u w:val="single"/>
        </w:rPr>
      </w:pPr>
      <w:r>
        <w:rPr>
          <w:rFonts w:eastAsia="Arial" w:cs="Arial"/>
          <w:b/>
          <w:sz w:val="22"/>
          <w:u w:val="single"/>
        </w:rPr>
        <w:t>Uitgangssituatie</w:t>
      </w:r>
    </w:p>
    <w:p w:rsidR="00163F6A" w:rsidRDefault="00285CB1">
      <w:pPr>
        <w:rPr>
          <w:rFonts w:eastAsia="Arial" w:cs="Arial"/>
        </w:rPr>
      </w:pPr>
      <w:r>
        <w:rPr>
          <w:rFonts w:eastAsia="Arial" w:cs="Arial"/>
          <w:sz w:val="22"/>
        </w:rPr>
        <w:t>De deelnemer is een verpleegkundige met een afgeronde Intensive en Medium care opleiding of cursist bezig met de opleiding Intensive/Medium Ca</w:t>
      </w:r>
      <w:r>
        <w:rPr>
          <w:rFonts w:eastAsia="Arial" w:cs="Arial"/>
          <w:sz w:val="22"/>
        </w:rPr>
        <w:t>re.</w:t>
      </w:r>
    </w:p>
    <w:p w:rsidR="00163F6A" w:rsidRDefault="00163F6A">
      <w:pPr>
        <w:rPr>
          <w:rFonts w:eastAsia="Arial" w:cs="Arial"/>
        </w:rPr>
      </w:pPr>
    </w:p>
    <w:p w:rsidR="00163F6A" w:rsidRDefault="00163F6A">
      <w:pPr>
        <w:rPr>
          <w:rFonts w:eastAsia="Arial" w:cs="Arial"/>
        </w:rPr>
      </w:pPr>
    </w:p>
    <w:p w:rsidR="00163F6A" w:rsidRDefault="00285CB1">
      <w:pPr>
        <w:rPr>
          <w:rFonts w:eastAsia="Arial" w:cs="Arial"/>
          <w:b/>
          <w:u w:val="single"/>
        </w:rPr>
      </w:pPr>
      <w:r>
        <w:rPr>
          <w:rFonts w:eastAsia="Arial" w:cs="Arial"/>
          <w:b/>
          <w:sz w:val="22"/>
          <w:u w:val="single"/>
        </w:rPr>
        <w:t>Werkvormen</w:t>
      </w:r>
    </w:p>
    <w:p w:rsidR="00163F6A" w:rsidRDefault="00163F6A">
      <w:pPr>
        <w:rPr>
          <w:rFonts w:eastAsia="Arial" w:cs="Arial"/>
          <w:b/>
          <w:u w:val="single"/>
        </w:rPr>
      </w:pPr>
    </w:p>
    <w:p w:rsidR="00163F6A" w:rsidRDefault="00285CB1">
      <w:pPr>
        <w:rPr>
          <w:rFonts w:eastAsia="Arial" w:cs="Arial"/>
        </w:rPr>
      </w:pPr>
      <w:r>
        <w:rPr>
          <w:rFonts w:eastAsia="Arial" w:cs="Arial"/>
          <w:sz w:val="22"/>
        </w:rPr>
        <w:t xml:space="preserve">Zelfstudie / interactief hoorcollege en interactieve vorm van </w:t>
      </w:r>
      <w:proofErr w:type="spellStart"/>
      <w:r>
        <w:rPr>
          <w:rFonts w:eastAsia="Arial" w:cs="Arial"/>
          <w:sz w:val="22"/>
        </w:rPr>
        <w:t>casuÏstiek</w:t>
      </w:r>
      <w:proofErr w:type="spellEnd"/>
      <w:r>
        <w:rPr>
          <w:rFonts w:eastAsia="Arial" w:cs="Arial"/>
          <w:sz w:val="22"/>
        </w:rPr>
        <w:t xml:space="preserve"> bespreking</w:t>
      </w:r>
    </w:p>
    <w:p w:rsidR="00163F6A" w:rsidRDefault="00163F6A">
      <w:pPr>
        <w:rPr>
          <w:rFonts w:eastAsia="Arial" w:cs="Arial"/>
          <w:b/>
        </w:rPr>
      </w:pPr>
    </w:p>
    <w:p w:rsidR="00163F6A" w:rsidRDefault="00285CB1">
      <w:pPr>
        <w:rPr>
          <w:rFonts w:eastAsia="Arial" w:cs="Arial"/>
          <w:b/>
        </w:rPr>
      </w:pPr>
      <w:r>
        <w:rPr>
          <w:rFonts w:eastAsia="Arial" w:cs="Arial"/>
          <w:b/>
          <w:sz w:val="22"/>
          <w:u w:val="single"/>
        </w:rPr>
        <w:t>Lesinhoud</w:t>
      </w:r>
    </w:p>
    <w:p w:rsidR="00163F6A" w:rsidRDefault="00163F6A">
      <w:pPr>
        <w:rPr>
          <w:rFonts w:eastAsia="Arial" w:cs="Arial"/>
        </w:rPr>
      </w:pPr>
    </w:p>
    <w:p w:rsidR="00163F6A" w:rsidRDefault="00285CB1">
      <w:pPr>
        <w:rPr>
          <w:rFonts w:eastAsia="Arial" w:cs="Arial"/>
        </w:rPr>
      </w:pPr>
      <w:r>
        <w:rPr>
          <w:rFonts w:eastAsia="Arial" w:cs="Arial"/>
          <w:sz w:val="22"/>
        </w:rPr>
        <w:t>aan de orde komen:</w:t>
      </w:r>
    </w:p>
    <w:p w:rsidR="00163F6A" w:rsidRDefault="00285CB1">
      <w:pPr>
        <w:rPr>
          <w:rFonts w:eastAsia="Arial" w:cs="Arial"/>
        </w:rPr>
      </w:pPr>
      <w:r>
        <w:rPr>
          <w:rFonts w:eastAsia="Arial" w:cs="Arial"/>
          <w:sz w:val="22"/>
        </w:rPr>
        <w:t xml:space="preserve">Wet BIG Historie en Doel , </w:t>
      </w:r>
      <w:proofErr w:type="spellStart"/>
      <w:r>
        <w:rPr>
          <w:rFonts w:eastAsia="Arial" w:cs="Arial"/>
          <w:sz w:val="22"/>
        </w:rPr>
        <w:t>Wkkgz</w:t>
      </w:r>
      <w:proofErr w:type="spellEnd"/>
      <w:r>
        <w:rPr>
          <w:rFonts w:eastAsia="Arial" w:cs="Arial"/>
          <w:sz w:val="22"/>
        </w:rPr>
        <w:t>, tuchtnormen in relatie tot de professionele standaard , tuchtcolleges hun werkwijze en de</w:t>
      </w:r>
      <w:r>
        <w:rPr>
          <w:rFonts w:eastAsia="Arial" w:cs="Arial"/>
          <w:sz w:val="22"/>
        </w:rPr>
        <w:t xml:space="preserve"> stand van zaken van tuchtklachten tegen verpleegkundigen / verpleegkundig specialisten en welke maatregelen wanneer worden opgelegd. Ook worden er voorbeelden van tuchtrechtuitspraken aan de orde gebracht, en er volgt een analyse wat er valt te leren van </w:t>
      </w:r>
      <w:r>
        <w:rPr>
          <w:rFonts w:eastAsia="Arial" w:cs="Arial"/>
          <w:sz w:val="22"/>
        </w:rPr>
        <w:t>tuchtrechtuitspraken en welke beroepsnormen zich ontwikkelen op basis van tuchtrechtuitspraken. De presentatie eindigt met aanbevelingen en adviezen om klachten te voorkomen en hoe je om kunt gaan met een tuchtklacht</w:t>
      </w:r>
      <w:r>
        <w:rPr>
          <w:rFonts w:eastAsia="Arial" w:cs="Arial"/>
        </w:rPr>
        <w:t xml:space="preserve">. </w:t>
      </w:r>
    </w:p>
    <w:p w:rsidR="00163F6A" w:rsidRDefault="00163F6A">
      <w:pPr>
        <w:rPr>
          <w:rFonts w:eastAsia="Arial" w:cs="Arial"/>
        </w:rPr>
      </w:pPr>
    </w:p>
    <w:p w:rsidR="00163F6A" w:rsidRDefault="00285CB1">
      <w:pPr>
        <w:rPr>
          <w:rFonts w:eastAsia="Arial" w:cs="Arial"/>
          <w:b/>
          <w:u w:val="single"/>
        </w:rPr>
      </w:pPr>
      <w:r>
        <w:rPr>
          <w:rFonts w:eastAsia="Arial" w:cs="Arial"/>
          <w:b/>
          <w:sz w:val="22"/>
          <w:u w:val="single"/>
        </w:rPr>
        <w:t>Literatuur</w:t>
      </w:r>
    </w:p>
    <w:tbl>
      <w:tblPr>
        <w:tblW w:w="0" w:type="auto"/>
        <w:tblInd w:w="70" w:type="dxa"/>
        <w:tblCellMar>
          <w:left w:w="10" w:type="dxa"/>
          <w:right w:w="10" w:type="dxa"/>
        </w:tblCellMar>
        <w:tblLook w:val="04A0" w:firstRow="1" w:lastRow="0" w:firstColumn="1" w:lastColumn="0" w:noHBand="0" w:noVBand="1"/>
      </w:tblPr>
      <w:tblGrid>
        <w:gridCol w:w="9096"/>
      </w:tblGrid>
      <w:tr w:rsidR="00163F6A">
        <w:tblPrEx>
          <w:tblCellMar>
            <w:top w:w="0" w:type="dxa"/>
            <w:bottom w:w="0" w:type="dxa"/>
          </w:tblCellMar>
        </w:tblPrEx>
        <w:tc>
          <w:tcPr>
            <w:tcW w:w="9462" w:type="dxa"/>
            <w:tcBorders>
              <w:top w:val="single" w:sz="0" w:space="0" w:color="836967"/>
              <w:left w:val="single" w:sz="0" w:space="0" w:color="836967"/>
              <w:bottom w:val="single" w:sz="0" w:space="0" w:color="836967"/>
              <w:right w:val="single" w:sz="0" w:space="0" w:color="836967"/>
            </w:tcBorders>
            <w:shd w:val="clear" w:color="auto" w:fill="auto"/>
            <w:tcMar>
              <w:left w:w="70" w:type="dxa"/>
              <w:right w:w="70" w:type="dxa"/>
            </w:tcMar>
            <w:vAlign w:val="bottom"/>
          </w:tcPr>
          <w:p w:rsidR="00163F6A" w:rsidRDefault="00285CB1">
            <w:r>
              <w:rPr>
                <w:rFonts w:eastAsia="Arial" w:cs="Arial"/>
                <w:sz w:val="22"/>
              </w:rPr>
              <w:t>de presentatie is gebasee</w:t>
            </w:r>
            <w:r>
              <w:rPr>
                <w:rFonts w:eastAsia="Arial" w:cs="Arial"/>
                <w:sz w:val="22"/>
              </w:rPr>
              <w:t xml:space="preserve">rd op tuchtrechtuitspraken die gepubliceerd worden op </w:t>
            </w:r>
            <w:hyperlink r:id="rId5">
              <w:r>
                <w:rPr>
                  <w:rFonts w:eastAsia="Arial" w:cs="Arial"/>
                  <w:color w:val="0000FF"/>
                  <w:sz w:val="22"/>
                  <w:u w:val="single"/>
                </w:rPr>
                <w:t>www.tuchtrecht.overheid.nl</w:t>
              </w:r>
            </w:hyperlink>
            <w:r>
              <w:rPr>
                <w:rFonts w:eastAsia="Arial" w:cs="Arial"/>
                <w:sz w:val="22"/>
              </w:rPr>
              <w:t xml:space="preserve"> en 20 jaar praktijkervaring bij het regionaal tuchtcollege voor de gezondheidszorg.  Ook is gebruik gemaakt van de jaarverslagen van de tuchtcolleges voor de gezondheidszorg, 2010 t/m 2017.  Handboek gezondheidsrecht / / H.J.J. </w:t>
            </w:r>
            <w:proofErr w:type="spellStart"/>
            <w:r>
              <w:rPr>
                <w:rFonts w:eastAsia="Arial" w:cs="Arial"/>
                <w:sz w:val="22"/>
              </w:rPr>
              <w:t>Leenen</w:t>
            </w:r>
            <w:proofErr w:type="spellEnd"/>
            <w:r>
              <w:rPr>
                <w:rFonts w:eastAsia="Arial" w:cs="Arial"/>
                <w:sz w:val="22"/>
              </w:rPr>
              <w:t xml:space="preserve">, J.C.J Dute (red.), </w:t>
            </w:r>
            <w:r>
              <w:rPr>
                <w:rFonts w:eastAsia="Arial" w:cs="Arial"/>
                <w:sz w:val="22"/>
              </w:rPr>
              <w:t xml:space="preserve">J.K.M. Gevers, J. </w:t>
            </w:r>
            <w:proofErr w:type="spellStart"/>
            <w:r>
              <w:rPr>
                <w:rFonts w:eastAsia="Arial" w:cs="Arial"/>
                <w:sz w:val="22"/>
              </w:rPr>
              <w:t>Legemaate</w:t>
            </w:r>
            <w:proofErr w:type="spellEnd"/>
            <w:r>
              <w:rPr>
                <w:rFonts w:eastAsia="Arial" w:cs="Arial"/>
                <w:sz w:val="22"/>
              </w:rPr>
              <w:t xml:space="preserve"> (red.), G.R.J. de Groot, M.E. </w:t>
            </w:r>
            <w:proofErr w:type="spellStart"/>
            <w:r>
              <w:rPr>
                <w:rFonts w:eastAsia="Arial" w:cs="Arial"/>
                <w:sz w:val="22"/>
              </w:rPr>
              <w:t>Gelpke</w:t>
            </w:r>
            <w:proofErr w:type="spellEnd"/>
            <w:r>
              <w:rPr>
                <w:rFonts w:eastAsia="Arial" w:cs="Arial"/>
                <w:sz w:val="22"/>
              </w:rPr>
              <w:t xml:space="preserve">, E.J.C. de Jong.  Auteur/Vervaardiger   </w:t>
            </w:r>
            <w:proofErr w:type="spellStart"/>
            <w:r>
              <w:rPr>
                <w:rFonts w:eastAsia="Arial" w:cs="Arial"/>
                <w:sz w:val="22"/>
              </w:rPr>
              <w:t>Leenen</w:t>
            </w:r>
            <w:proofErr w:type="spellEnd"/>
            <w:r>
              <w:rPr>
                <w:rFonts w:eastAsia="Arial" w:cs="Arial"/>
                <w:sz w:val="22"/>
              </w:rPr>
              <w:t xml:space="preserve">, H.J.J. (1929-2000,)  Dute, J.C.J. (1956-,)  Gevers, J.K.M.,  </w:t>
            </w:r>
            <w:proofErr w:type="spellStart"/>
            <w:r>
              <w:rPr>
                <w:rFonts w:eastAsia="Arial" w:cs="Arial"/>
                <w:sz w:val="22"/>
              </w:rPr>
              <w:t>Legemaate</w:t>
            </w:r>
            <w:proofErr w:type="spellEnd"/>
            <w:r>
              <w:rPr>
                <w:rFonts w:eastAsia="Arial" w:cs="Arial"/>
                <w:sz w:val="22"/>
              </w:rPr>
              <w:t xml:space="preserve">, J.,  Groot, G.R.J. de,  </w:t>
            </w:r>
            <w:proofErr w:type="spellStart"/>
            <w:r>
              <w:rPr>
                <w:rFonts w:eastAsia="Arial" w:cs="Arial"/>
                <w:sz w:val="22"/>
              </w:rPr>
              <w:t>Gelpke</w:t>
            </w:r>
            <w:proofErr w:type="spellEnd"/>
            <w:r>
              <w:rPr>
                <w:rFonts w:eastAsia="Arial" w:cs="Arial"/>
                <w:sz w:val="22"/>
              </w:rPr>
              <w:t>, M.E.,  Jong, E.J.C. de,  Editie  Zevend</w:t>
            </w:r>
            <w:r>
              <w:rPr>
                <w:rFonts w:eastAsia="Arial" w:cs="Arial"/>
                <w:sz w:val="22"/>
              </w:rPr>
              <w:t>e druk. Uitgever   Den Haag : Boom juridisch,  Jaar  2017. ©2017</w:t>
            </w:r>
          </w:p>
        </w:tc>
      </w:tr>
    </w:tbl>
    <w:p w:rsidR="00163F6A" w:rsidRDefault="00163F6A">
      <w:pPr>
        <w:rPr>
          <w:rFonts w:ascii="Calibri" w:eastAsia="Calibri" w:hAnsi="Calibri" w:cs="Calibri"/>
        </w:rPr>
      </w:pPr>
    </w:p>
    <w:p w:rsidR="00163F6A" w:rsidRDefault="00163F6A">
      <w:pPr>
        <w:rPr>
          <w:rFonts w:eastAsia="Arial" w:cs="Arial"/>
          <w:b/>
          <w:u w:val="single"/>
        </w:rPr>
      </w:pPr>
    </w:p>
    <w:p w:rsidR="00163F6A" w:rsidRDefault="00163F6A">
      <w:pPr>
        <w:rPr>
          <w:rFonts w:eastAsia="Arial" w:cs="Arial"/>
        </w:rPr>
      </w:pPr>
    </w:p>
    <w:sectPr w:rsidR="00163F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F6A"/>
    <w:rsid w:val="00163F6A"/>
    <w:rsid w:val="00285C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nhideWhenUsed/>
    <w:qFormat/>
    <w:rsid w:val="00285CB1"/>
    <w:pPr>
      <w:spacing w:after="0" w:line="240" w:lineRule="auto"/>
    </w:pPr>
    <w:rPr>
      <w:rFonts w:ascii="Arial" w:eastAsia="Times New Roman" w:hAnsi="Arial" w:cs="Times New Roman"/>
      <w:sz w:val="20"/>
      <w:szCs w:val="24"/>
    </w:rPr>
  </w:style>
  <w:style w:type="paragraph" w:styleId="Kop1">
    <w:name w:val="heading 1"/>
    <w:basedOn w:val="Standaard"/>
    <w:next w:val="Standaard"/>
    <w:link w:val="Kop1Char"/>
    <w:uiPriority w:val="1"/>
    <w:qFormat/>
    <w:rsid w:val="00285CB1"/>
    <w:pPr>
      <w:keepNext/>
      <w:outlineLvl w:val="0"/>
    </w:pPr>
    <w:rPr>
      <w:b/>
      <w:sz w:val="24"/>
      <w:szCs w:val="28"/>
    </w:rPr>
  </w:style>
  <w:style w:type="paragraph" w:styleId="Kop2">
    <w:name w:val="heading 2"/>
    <w:basedOn w:val="Standaard"/>
    <w:next w:val="Standaard"/>
    <w:link w:val="Kop2Char"/>
    <w:uiPriority w:val="1"/>
    <w:qFormat/>
    <w:rsid w:val="00285CB1"/>
    <w:pPr>
      <w:keepNext/>
      <w:outlineLvl w:val="1"/>
    </w:pPr>
    <w:rPr>
      <w:rFonts w:cs="Arial"/>
      <w:b/>
      <w:bCs/>
      <w:iCs/>
      <w:sz w:val="22"/>
      <w:szCs w:val="22"/>
    </w:rPr>
  </w:style>
  <w:style w:type="paragraph" w:styleId="Kop3">
    <w:name w:val="heading 3"/>
    <w:basedOn w:val="Standaard"/>
    <w:next w:val="Standaard"/>
    <w:link w:val="Kop3Char"/>
    <w:uiPriority w:val="1"/>
    <w:qFormat/>
    <w:rsid w:val="00285CB1"/>
    <w:pPr>
      <w:keepNext/>
      <w:outlineLvl w:val="2"/>
    </w:pPr>
    <w:rPr>
      <w:rFonts w:cs="Arial"/>
      <w:b/>
      <w:bCs/>
      <w:szCs w:val="20"/>
    </w:rPr>
  </w:style>
  <w:style w:type="paragraph" w:styleId="Kop4">
    <w:name w:val="heading 4"/>
    <w:basedOn w:val="Standaard"/>
    <w:next w:val="Standaard"/>
    <w:link w:val="Kop4Char"/>
    <w:uiPriority w:val="1"/>
    <w:qFormat/>
    <w:rsid w:val="00285CB1"/>
    <w:pPr>
      <w:spacing w:before="200"/>
      <w:outlineLvl w:val="3"/>
    </w:pPr>
    <w:rPr>
      <w:rFonts w:eastAsiaTheme="majorEastAsia" w:cstheme="majorBidi"/>
      <w:b/>
      <w:bCs/>
      <w:i/>
      <w:iCs/>
    </w:rPr>
  </w:style>
  <w:style w:type="paragraph" w:styleId="Kop5">
    <w:name w:val="heading 5"/>
    <w:basedOn w:val="Standaard"/>
    <w:next w:val="Standaard"/>
    <w:link w:val="Kop5Char"/>
    <w:uiPriority w:val="1"/>
    <w:qFormat/>
    <w:rsid w:val="00285CB1"/>
    <w:pPr>
      <w:keepNext/>
      <w:keepLines/>
      <w:spacing w:before="200"/>
      <w:outlineLvl w:val="4"/>
    </w:pPr>
    <w:rPr>
      <w:rFonts w:eastAsiaTheme="majorEastAsia" w:cstheme="majorBidi"/>
      <w:i/>
    </w:rPr>
  </w:style>
  <w:style w:type="character" w:default="1" w:styleId="Standaardalinea-lettertype">
    <w:name w:val="Default Paragraph Font"/>
    <w:uiPriority w:val="1"/>
    <w:semiHidden/>
    <w:unhideWhenUsed/>
    <w:rsid w:val="00285CB1"/>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285CB1"/>
  </w:style>
  <w:style w:type="character" w:customStyle="1" w:styleId="Kop1Char">
    <w:name w:val="Kop 1 Char"/>
    <w:basedOn w:val="Standaardalinea-lettertype"/>
    <w:link w:val="Kop1"/>
    <w:uiPriority w:val="1"/>
    <w:rsid w:val="00285CB1"/>
    <w:rPr>
      <w:rFonts w:ascii="Arial" w:eastAsia="Times New Roman" w:hAnsi="Arial" w:cs="Times New Roman"/>
      <w:b/>
      <w:sz w:val="24"/>
      <w:szCs w:val="28"/>
    </w:rPr>
  </w:style>
  <w:style w:type="character" w:customStyle="1" w:styleId="Kop2Char">
    <w:name w:val="Kop 2 Char"/>
    <w:basedOn w:val="Standaardalinea-lettertype"/>
    <w:link w:val="Kop2"/>
    <w:uiPriority w:val="1"/>
    <w:rsid w:val="00285CB1"/>
    <w:rPr>
      <w:rFonts w:ascii="Arial" w:eastAsia="Times New Roman" w:hAnsi="Arial" w:cs="Arial"/>
      <w:b/>
      <w:bCs/>
      <w:iCs/>
    </w:rPr>
  </w:style>
  <w:style w:type="character" w:customStyle="1" w:styleId="Kop3Char">
    <w:name w:val="Kop 3 Char"/>
    <w:basedOn w:val="Standaardalinea-lettertype"/>
    <w:link w:val="Kop3"/>
    <w:uiPriority w:val="1"/>
    <w:rsid w:val="00285CB1"/>
    <w:rPr>
      <w:rFonts w:ascii="Arial" w:eastAsia="Times New Roman" w:hAnsi="Arial" w:cs="Arial"/>
      <w:b/>
      <w:bCs/>
      <w:sz w:val="20"/>
      <w:szCs w:val="20"/>
    </w:rPr>
  </w:style>
  <w:style w:type="character" w:customStyle="1" w:styleId="Kop4Char">
    <w:name w:val="Kop 4 Char"/>
    <w:basedOn w:val="Standaardalinea-lettertype"/>
    <w:link w:val="Kop4"/>
    <w:uiPriority w:val="1"/>
    <w:rsid w:val="00285CB1"/>
    <w:rPr>
      <w:rFonts w:ascii="Arial" w:eastAsiaTheme="majorEastAsia" w:hAnsi="Arial" w:cstheme="majorBidi"/>
      <w:b/>
      <w:bCs/>
      <w:i/>
      <w:iCs/>
      <w:sz w:val="20"/>
      <w:szCs w:val="24"/>
    </w:rPr>
  </w:style>
  <w:style w:type="character" w:customStyle="1" w:styleId="Kop5Char">
    <w:name w:val="Kop 5 Char"/>
    <w:basedOn w:val="Standaardalinea-lettertype"/>
    <w:link w:val="Kop5"/>
    <w:uiPriority w:val="1"/>
    <w:rsid w:val="00285CB1"/>
    <w:rPr>
      <w:rFonts w:ascii="Arial" w:eastAsiaTheme="majorEastAsia" w:hAnsi="Arial" w:cstheme="majorBidi"/>
      <w:i/>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nhideWhenUsed/>
    <w:qFormat/>
    <w:rsid w:val="00285CB1"/>
    <w:pPr>
      <w:spacing w:after="0" w:line="240" w:lineRule="auto"/>
    </w:pPr>
    <w:rPr>
      <w:rFonts w:ascii="Arial" w:eastAsia="Times New Roman" w:hAnsi="Arial" w:cs="Times New Roman"/>
      <w:sz w:val="20"/>
      <w:szCs w:val="24"/>
    </w:rPr>
  </w:style>
  <w:style w:type="paragraph" w:styleId="Kop1">
    <w:name w:val="heading 1"/>
    <w:basedOn w:val="Standaard"/>
    <w:next w:val="Standaard"/>
    <w:link w:val="Kop1Char"/>
    <w:uiPriority w:val="1"/>
    <w:qFormat/>
    <w:rsid w:val="00285CB1"/>
    <w:pPr>
      <w:keepNext/>
      <w:outlineLvl w:val="0"/>
    </w:pPr>
    <w:rPr>
      <w:b/>
      <w:sz w:val="24"/>
      <w:szCs w:val="28"/>
    </w:rPr>
  </w:style>
  <w:style w:type="paragraph" w:styleId="Kop2">
    <w:name w:val="heading 2"/>
    <w:basedOn w:val="Standaard"/>
    <w:next w:val="Standaard"/>
    <w:link w:val="Kop2Char"/>
    <w:uiPriority w:val="1"/>
    <w:qFormat/>
    <w:rsid w:val="00285CB1"/>
    <w:pPr>
      <w:keepNext/>
      <w:outlineLvl w:val="1"/>
    </w:pPr>
    <w:rPr>
      <w:rFonts w:cs="Arial"/>
      <w:b/>
      <w:bCs/>
      <w:iCs/>
      <w:sz w:val="22"/>
      <w:szCs w:val="22"/>
    </w:rPr>
  </w:style>
  <w:style w:type="paragraph" w:styleId="Kop3">
    <w:name w:val="heading 3"/>
    <w:basedOn w:val="Standaard"/>
    <w:next w:val="Standaard"/>
    <w:link w:val="Kop3Char"/>
    <w:uiPriority w:val="1"/>
    <w:qFormat/>
    <w:rsid w:val="00285CB1"/>
    <w:pPr>
      <w:keepNext/>
      <w:outlineLvl w:val="2"/>
    </w:pPr>
    <w:rPr>
      <w:rFonts w:cs="Arial"/>
      <w:b/>
      <w:bCs/>
      <w:szCs w:val="20"/>
    </w:rPr>
  </w:style>
  <w:style w:type="paragraph" w:styleId="Kop4">
    <w:name w:val="heading 4"/>
    <w:basedOn w:val="Standaard"/>
    <w:next w:val="Standaard"/>
    <w:link w:val="Kop4Char"/>
    <w:uiPriority w:val="1"/>
    <w:qFormat/>
    <w:rsid w:val="00285CB1"/>
    <w:pPr>
      <w:spacing w:before="200"/>
      <w:outlineLvl w:val="3"/>
    </w:pPr>
    <w:rPr>
      <w:rFonts w:eastAsiaTheme="majorEastAsia" w:cstheme="majorBidi"/>
      <w:b/>
      <w:bCs/>
      <w:i/>
      <w:iCs/>
    </w:rPr>
  </w:style>
  <w:style w:type="paragraph" w:styleId="Kop5">
    <w:name w:val="heading 5"/>
    <w:basedOn w:val="Standaard"/>
    <w:next w:val="Standaard"/>
    <w:link w:val="Kop5Char"/>
    <w:uiPriority w:val="1"/>
    <w:qFormat/>
    <w:rsid w:val="00285CB1"/>
    <w:pPr>
      <w:keepNext/>
      <w:keepLines/>
      <w:spacing w:before="200"/>
      <w:outlineLvl w:val="4"/>
    </w:pPr>
    <w:rPr>
      <w:rFonts w:eastAsiaTheme="majorEastAsia" w:cstheme="majorBidi"/>
      <w:i/>
    </w:rPr>
  </w:style>
  <w:style w:type="character" w:default="1" w:styleId="Standaardalinea-lettertype">
    <w:name w:val="Default Paragraph Font"/>
    <w:uiPriority w:val="1"/>
    <w:semiHidden/>
    <w:unhideWhenUsed/>
    <w:rsid w:val="00285CB1"/>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285CB1"/>
  </w:style>
  <w:style w:type="character" w:customStyle="1" w:styleId="Kop1Char">
    <w:name w:val="Kop 1 Char"/>
    <w:basedOn w:val="Standaardalinea-lettertype"/>
    <w:link w:val="Kop1"/>
    <w:uiPriority w:val="1"/>
    <w:rsid w:val="00285CB1"/>
    <w:rPr>
      <w:rFonts w:ascii="Arial" w:eastAsia="Times New Roman" w:hAnsi="Arial" w:cs="Times New Roman"/>
      <w:b/>
      <w:sz w:val="24"/>
      <w:szCs w:val="28"/>
    </w:rPr>
  </w:style>
  <w:style w:type="character" w:customStyle="1" w:styleId="Kop2Char">
    <w:name w:val="Kop 2 Char"/>
    <w:basedOn w:val="Standaardalinea-lettertype"/>
    <w:link w:val="Kop2"/>
    <w:uiPriority w:val="1"/>
    <w:rsid w:val="00285CB1"/>
    <w:rPr>
      <w:rFonts w:ascii="Arial" w:eastAsia="Times New Roman" w:hAnsi="Arial" w:cs="Arial"/>
      <w:b/>
      <w:bCs/>
      <w:iCs/>
    </w:rPr>
  </w:style>
  <w:style w:type="character" w:customStyle="1" w:styleId="Kop3Char">
    <w:name w:val="Kop 3 Char"/>
    <w:basedOn w:val="Standaardalinea-lettertype"/>
    <w:link w:val="Kop3"/>
    <w:uiPriority w:val="1"/>
    <w:rsid w:val="00285CB1"/>
    <w:rPr>
      <w:rFonts w:ascii="Arial" w:eastAsia="Times New Roman" w:hAnsi="Arial" w:cs="Arial"/>
      <w:b/>
      <w:bCs/>
      <w:sz w:val="20"/>
      <w:szCs w:val="20"/>
    </w:rPr>
  </w:style>
  <w:style w:type="character" w:customStyle="1" w:styleId="Kop4Char">
    <w:name w:val="Kop 4 Char"/>
    <w:basedOn w:val="Standaardalinea-lettertype"/>
    <w:link w:val="Kop4"/>
    <w:uiPriority w:val="1"/>
    <w:rsid w:val="00285CB1"/>
    <w:rPr>
      <w:rFonts w:ascii="Arial" w:eastAsiaTheme="majorEastAsia" w:hAnsi="Arial" w:cstheme="majorBidi"/>
      <w:b/>
      <w:bCs/>
      <w:i/>
      <w:iCs/>
      <w:sz w:val="20"/>
      <w:szCs w:val="24"/>
    </w:rPr>
  </w:style>
  <w:style w:type="character" w:customStyle="1" w:styleId="Kop5Char">
    <w:name w:val="Kop 5 Char"/>
    <w:basedOn w:val="Standaardalinea-lettertype"/>
    <w:link w:val="Kop5"/>
    <w:uiPriority w:val="1"/>
    <w:rsid w:val="00285CB1"/>
    <w:rPr>
      <w:rFonts w:ascii="Arial" w:eastAsiaTheme="majorEastAsia" w:hAnsi="Arial" w:cstheme="majorBidi"/>
      <w:i/>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uchtrecht.overheid.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1771</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MCA Gemini Groep</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Kramer - Rouwhorst, Danielle</dc:creator>
  <cp:lastModifiedBy>Kramer - Rouwhorst, Danielle</cp:lastModifiedBy>
  <cp:revision>2</cp:revision>
  <dcterms:created xsi:type="dcterms:W3CDTF">2017-09-22T09:56:00Z</dcterms:created>
  <dcterms:modified xsi:type="dcterms:W3CDTF">2017-09-22T09:56:00Z</dcterms:modified>
</cp:coreProperties>
</file>